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CD781" w14:textId="77777777" w:rsidR="004010B7" w:rsidRDefault="003F2680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07591D4" wp14:editId="39682531">
                <wp:simplePos x="0" y="0"/>
                <wp:positionH relativeFrom="column">
                  <wp:posOffset>5016500</wp:posOffset>
                </wp:positionH>
                <wp:positionV relativeFrom="paragraph">
                  <wp:posOffset>-698499</wp:posOffset>
                </wp:positionV>
                <wp:extent cx="1824471" cy="231197"/>
                <wp:effectExtent l="0" t="0" r="0" b="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8527" y="3669164"/>
                          <a:ext cx="1814946" cy="221672"/>
                        </a:xfrm>
                        <a:prstGeom prst="rect">
                          <a:avLst/>
                        </a:prstGeom>
                        <a:solidFill>
                          <a:srgbClr val="6456A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539EF09" w14:textId="77777777" w:rsidR="004010B7" w:rsidRDefault="004010B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5016500</wp:posOffset>
                </wp:positionH>
                <wp:positionV relativeFrom="paragraph">
                  <wp:posOffset>-698499</wp:posOffset>
                </wp:positionV>
                <wp:extent cx="1824471" cy="231197"/>
                <wp:effectExtent b="0" l="0" r="0" t="0"/>
                <wp:wrapNone/>
                <wp:docPr id="1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4471" cy="23119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B67A4F6" wp14:editId="023066B6">
            <wp:simplePos x="0" y="0"/>
            <wp:positionH relativeFrom="column">
              <wp:posOffset>1</wp:posOffset>
            </wp:positionH>
            <wp:positionV relativeFrom="paragraph">
              <wp:posOffset>267335</wp:posOffset>
            </wp:positionV>
            <wp:extent cx="1630045" cy="457200"/>
            <wp:effectExtent l="0" t="0" r="0" b="0"/>
            <wp:wrapSquare wrapText="bothSides" distT="0" distB="0" distL="114300" distR="114300"/>
            <wp:docPr id="1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8345F96" w14:textId="77777777" w:rsidR="004010B7" w:rsidRDefault="004010B7"/>
    <w:p w14:paraId="2C43AA4D" w14:textId="77777777" w:rsidR="004010B7" w:rsidRDefault="004010B7"/>
    <w:p w14:paraId="3AE91747" w14:textId="77777777" w:rsidR="004010B7" w:rsidRDefault="004010B7">
      <w:pPr>
        <w:rPr>
          <w:rFonts w:ascii="Montserrat" w:eastAsia="Montserrat" w:hAnsi="Montserrat" w:cs="Montserrat"/>
          <w:sz w:val="36"/>
          <w:szCs w:val="36"/>
        </w:rPr>
      </w:pPr>
    </w:p>
    <w:p w14:paraId="1B2EC753" w14:textId="407138D9" w:rsidR="004010B7" w:rsidRDefault="003F2680">
      <w:pPr>
        <w:rPr>
          <w:rFonts w:ascii="Century Gothic" w:eastAsia="Century Gothic" w:hAnsi="Century Gothic" w:cs="Century Gothic"/>
          <w:sz w:val="14"/>
          <w:szCs w:val="14"/>
        </w:rPr>
      </w:pPr>
      <w:r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 xml:space="preserve">Materiał prasowy, </w:t>
      </w:r>
      <w:r w:rsidR="00C67D88">
        <w:rPr>
          <w:rFonts w:ascii="Century Gothic" w:eastAsia="Century Gothic" w:hAnsi="Century Gothic" w:cs="Century Gothic"/>
          <w:sz w:val="18"/>
          <w:szCs w:val="18"/>
        </w:rPr>
        <w:t>04.10</w:t>
      </w:r>
      <w:r>
        <w:rPr>
          <w:rFonts w:ascii="Century Gothic" w:eastAsia="Century Gothic" w:hAnsi="Century Gothic" w:cs="Century Gothic"/>
          <w:sz w:val="18"/>
          <w:szCs w:val="18"/>
        </w:rPr>
        <w:t>.2021r.</w:t>
      </w:r>
    </w:p>
    <w:p w14:paraId="6CA18E65" w14:textId="77777777" w:rsidR="004010B7" w:rsidRDefault="004010B7">
      <w:pPr>
        <w:rPr>
          <w:rFonts w:ascii="Montserrat" w:eastAsia="Montserrat" w:hAnsi="Montserrat" w:cs="Montserrat"/>
          <w:sz w:val="20"/>
          <w:szCs w:val="20"/>
        </w:rPr>
      </w:pPr>
    </w:p>
    <w:p w14:paraId="0CE0B154" w14:textId="77777777" w:rsidR="004010B7" w:rsidRDefault="003F2680">
      <w:pPr>
        <w:rPr>
          <w:rFonts w:ascii="Century Gothic" w:eastAsia="Century Gothic" w:hAnsi="Century Gothic" w:cs="Century Gothic"/>
          <w:b/>
          <w:sz w:val="36"/>
          <w:szCs w:val="36"/>
        </w:rPr>
      </w:pPr>
      <w:bookmarkStart w:id="0" w:name="_heading=h.gjdgxs" w:colFirst="0" w:colLast="0"/>
      <w:bookmarkEnd w:id="0"/>
      <w:r>
        <w:rPr>
          <w:rFonts w:ascii="Century Gothic" w:eastAsia="Century Gothic" w:hAnsi="Century Gothic" w:cs="Century Gothic"/>
          <w:b/>
          <w:sz w:val="36"/>
          <w:szCs w:val="36"/>
        </w:rPr>
        <w:t xml:space="preserve">Ponad 3647 narzędzi </w:t>
      </w:r>
      <w:proofErr w:type="spellStart"/>
      <w:r>
        <w:rPr>
          <w:rFonts w:ascii="Century Gothic" w:eastAsia="Century Gothic" w:hAnsi="Century Gothic" w:cs="Century Gothic"/>
          <w:b/>
          <w:sz w:val="36"/>
          <w:szCs w:val="36"/>
        </w:rPr>
        <w:t>MarTech</w:t>
      </w:r>
      <w:proofErr w:type="spellEnd"/>
      <w:r>
        <w:rPr>
          <w:rFonts w:ascii="Century Gothic" w:eastAsia="Century Gothic" w:hAnsi="Century Gothic" w:cs="Century Gothic"/>
          <w:b/>
          <w:sz w:val="36"/>
          <w:szCs w:val="36"/>
        </w:rPr>
        <w:t xml:space="preserve"> w Europie </w:t>
      </w:r>
      <w:r>
        <w:rPr>
          <w:rFonts w:ascii="Century Gothic" w:eastAsia="Century Gothic" w:hAnsi="Century Gothic" w:cs="Century Gothic"/>
          <w:b/>
          <w:sz w:val="36"/>
          <w:szCs w:val="36"/>
        </w:rPr>
        <w:br/>
        <w:t xml:space="preserve">w 2021 roku – róg obfitości czy klęska urodzaju </w:t>
      </w:r>
      <w:r>
        <w:rPr>
          <w:rFonts w:ascii="Century Gothic" w:eastAsia="Century Gothic" w:hAnsi="Century Gothic" w:cs="Century Gothic"/>
          <w:b/>
          <w:sz w:val="36"/>
          <w:szCs w:val="36"/>
        </w:rPr>
        <w:br/>
        <w:t>dla marketerów?</w:t>
      </w:r>
    </w:p>
    <w:p w14:paraId="22FFA814" w14:textId="77777777" w:rsidR="004010B7" w:rsidRDefault="004010B7">
      <w:pPr>
        <w:rPr>
          <w:rFonts w:ascii="Century Gothic" w:eastAsia="Century Gothic" w:hAnsi="Century Gothic" w:cs="Century Gothic"/>
          <w:sz w:val="20"/>
          <w:szCs w:val="20"/>
        </w:rPr>
      </w:pPr>
    </w:p>
    <w:p w14:paraId="44DFC276" w14:textId="77777777" w:rsidR="004010B7" w:rsidRDefault="004010B7">
      <w:pPr>
        <w:rPr>
          <w:rFonts w:ascii="Century Gothic" w:eastAsia="Century Gothic" w:hAnsi="Century Gothic" w:cs="Century Gothic"/>
          <w:sz w:val="20"/>
          <w:szCs w:val="20"/>
        </w:rPr>
      </w:pPr>
    </w:p>
    <w:p w14:paraId="5733EF60" w14:textId="77777777" w:rsidR="004010B7" w:rsidRDefault="003F2680">
      <w:pPr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Według Scotta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Brinkera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>, autora Chiefmartech.com aktualnie na świecie dostępnych jest ponad 8 000</w:t>
      </w:r>
      <w:r>
        <w:rPr>
          <w:rFonts w:ascii="Century Gothic" w:eastAsia="Century Gothic" w:hAnsi="Century Gothic" w:cs="Century Gothic"/>
          <w:b/>
          <w:sz w:val="20"/>
          <w:szCs w:val="20"/>
          <w:vertAlign w:val="superscript"/>
        </w:rPr>
        <w:footnoteReference w:id="1"/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technologii marketingowych. W samej Europie istnieje tyle samo rozwiązań, ile dostępnych było globalnie w 2016 roku, czyli dokładnie 3647 podmiotów.</w:t>
      </w:r>
      <w:r>
        <w:rPr>
          <w:rFonts w:ascii="Century Gothic" w:eastAsia="Century Gothic" w:hAnsi="Century Gothic" w:cs="Century Gothic"/>
          <w:b/>
          <w:sz w:val="20"/>
          <w:szCs w:val="20"/>
          <w:vertAlign w:val="superscript"/>
        </w:rPr>
        <w:footnoteReference w:id="2"/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Dzisiaj wielość kanałów komunikacji i dostęp do tak obszernej gamy narzędzi może przyprawiać przeciętnego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marketera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o ból głowy, dlatego tak ważne jest zrozumienie tego, co chcemy osiągnąć, jakie mamy możliwości i z których rozwiązań warto skorzystać. Świat jest zjadany przez software napędzany danymi – więc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marketerom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>, którzy świadomie zrezygnują z technologii grozi pozostanie w tyle za konkurencją.</w:t>
      </w:r>
      <w:r>
        <w:rPr>
          <w:rFonts w:ascii="Century Gothic" w:eastAsia="Century Gothic" w:hAnsi="Century Gothic" w:cs="Century Gothic"/>
          <w:b/>
          <w:sz w:val="20"/>
          <w:szCs w:val="20"/>
          <w:vertAlign w:val="superscript"/>
        </w:rPr>
        <w:footnoteReference w:id="3"/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Czego zatem oczekujemy od nowoczesnych narzędzi marketingowych? Ponad połowa marketerów w badaniu Brief4U.com</w:t>
      </w:r>
      <w:r>
        <w:rPr>
          <w:rFonts w:ascii="Century Gothic" w:eastAsia="Century Gothic" w:hAnsi="Century Gothic" w:cs="Century Gothic"/>
          <w:b/>
          <w:sz w:val="20"/>
          <w:szCs w:val="20"/>
          <w:vertAlign w:val="superscript"/>
        </w:rPr>
        <w:footnoteReference w:id="4"/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przyznała, że oszczędności czasu. Odpowiedź ta dotyczyła jednej z ważniejszych gałęzi działań w obszarze marketingu b2b, a mianowicie procesu wyboru agencji reklamowej. </w:t>
      </w:r>
    </w:p>
    <w:p w14:paraId="7E730CCA" w14:textId="77777777" w:rsidR="004010B7" w:rsidRDefault="004010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1EBE9633" w14:textId="77777777" w:rsidR="004010B7" w:rsidRDefault="003F26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Wraz z rozwojem nowych kanałów komunikacji,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marketerzy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zaczęli zgłaszać potrzebę narzędzi, które zoptymalizują i usprawnią prowadzone przez nich działania marketingowe. Automatyzacja niektórych procesów przyniosła wiele korzyści. Pozwoliła przede wszystkim zdjąć ze specjalistów ciężar rutynowych czynności, zaoszczędzić czas, a także zapewniła lepsze spojrzenie na całość realizowanych działań. Rozwiązania służące do usprawniania procesu wyboru agencji reklamowej, analizy źródeł ruchu na stronie, marketing automation, pozyskiwania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leadów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b2b, monitoringu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internetu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planowania treści i promocji w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social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media, generowania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contentu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reklamy graficznej czy SEO to obecnie marketingowe </w:t>
      </w:r>
      <w:proofErr w:type="spellStart"/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>must</w:t>
      </w:r>
      <w:proofErr w:type="spellEnd"/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>have</w:t>
      </w:r>
      <w:proofErr w:type="spellEnd"/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>.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Specjaliści przy planowaniu strategii i mierzeniu jej skuteczności mają do dyspozycji masę narzędzi analitycznych. Jednak, jak podaje raport „Trust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is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the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new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king –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content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marketing a zaufanie do marki”, aż 75 proc. marketerów nie jest pewna, czy ma właściwe narzędzia do mierzenia efektów swoich działań. </w:t>
      </w:r>
    </w:p>
    <w:p w14:paraId="1094DCE6" w14:textId="77777777" w:rsidR="004010B7" w:rsidRDefault="004010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39EB2A23" w14:textId="77777777" w:rsidR="004010B7" w:rsidRDefault="003F26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i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- </w:t>
      </w:r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 xml:space="preserve">Przed podjęciem decyzji o wykorzystaniu konkretnych technologii w marketingu, warto precyzyjnie określić potrzeby biznesowe, sprawdzić już wdrożone i wykorzystywane rozwiązania, a także zrobić dokładny </w:t>
      </w:r>
      <w:proofErr w:type="spellStart"/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>research</w:t>
      </w:r>
      <w:proofErr w:type="spellEnd"/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 xml:space="preserve"> kategorii dostępnych na rynku rozwiązań i oferowanych przez nie funkcjonalności. Dlaczego? Ponieważ z roku na roku pojawiają się nowe technologie, które odpowiednio dobrane mogą usprawnić działania marketingowe w firmie. Właśnie w odpowiedzi na jedną z największych potrzeb rynkowych w sektorze komunikacji marketingowej, powstała platforma brief4U.com, która pozwala </w:t>
      </w:r>
      <w:proofErr w:type="spellStart"/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>marketerom</w:t>
      </w:r>
      <w:proofErr w:type="spellEnd"/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 xml:space="preserve"> skuteczniej dobierać agencje reklamowe do współpracy oraz usprawnia związany z tym proces zakupu usług marketingowych. W naszym badaniu, ponad 60 proc. specjalistów przyznało, że chętnie skorzystaliby z narzędzi, które zautomatyzują cały proces ofertowy i sprawią, że będzie on bardziej przejrzysty i prosty. Obecnie, na platformie brief4U.com, zarejestrowanych jest  ponad 550 agencji reklamowych, z których </w:t>
      </w:r>
      <w:proofErr w:type="spellStart"/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>marketerzy</w:t>
      </w:r>
      <w:proofErr w:type="spellEnd"/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 xml:space="preserve"> mogą wybrać te najodpowiedniejsze do swoich projektów marketingowych –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komentuje Marcin Chyliński,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brief4U.com.</w:t>
      </w:r>
    </w:p>
    <w:p w14:paraId="0DBC5E9A" w14:textId="77777777" w:rsidR="004010B7" w:rsidRDefault="004010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i/>
          <w:color w:val="000000"/>
          <w:sz w:val="20"/>
          <w:szCs w:val="20"/>
        </w:rPr>
      </w:pPr>
    </w:p>
    <w:p w14:paraId="0E860447" w14:textId="77777777" w:rsidR="004010B7" w:rsidRDefault="003F26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Platformy b2b w służbie współczesnego marketingu</w:t>
      </w:r>
    </w:p>
    <w:p w14:paraId="465ED276" w14:textId="77777777" w:rsidR="004010B7" w:rsidRDefault="004010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14:paraId="3EBCDB53" w14:textId="77777777" w:rsidR="004010B7" w:rsidRDefault="003F2680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Przy mnogości kanałów komunikacji i dostępnych narzędziach nie sposób jest mieć pełną wiedzę marketingową z każdego obszaru, a początkujący adepci marketingu w szczególności mogą mieć problem z szybkim zdobyciem takich kompetencji. W takiej sytuacji, potrzeba delegacji zadań wyspecjalizowanym agencjom reklamowym jest większa niż kiedykolwiek. Wydawać by się mogło, że w czasach, gdy niemal każda firma posiada stronę internetową – znalezienie odpowiedniej agencji powinno być proste. Tymczasem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marketer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poszukując usługodawców porusza się w gronie 5 maksymalnie 10 agencji, co stanowi mniej niż 1 proc. z 1200 podmiotów dostępnych na polskim rynku, a na weryfikację ich kompetencji poświęca sporo pracy i czasu, zamiast przeznaczyć go na to co jest naprawdę ważne w pracy każdego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marketera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- zarządzanie swoją marką.</w:t>
      </w:r>
    </w:p>
    <w:p w14:paraId="6E36CC8D" w14:textId="77777777" w:rsidR="004010B7" w:rsidRDefault="004010B7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47522F6A" w14:textId="77777777" w:rsidR="004010B7" w:rsidRDefault="003F2680">
      <w:pPr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- Obecnie przestrzeń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digital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jest bardzo mocno rozbudowana. Niemal każda agencja ma swoją stronę internetową, co jeszcze 15 lat temu nie było standardem. Natomiast to nie rozwiązuje problemu.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Marketer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nadal musi samodzielnie dotrzeć do każdej agencji, zweryfikować ją, sprawdzić czy dany podmiot posiada odpowiednie kompetencje i doświadczenie, a to wymaga dużego nakładu pracy i czasu, żeby faktycznie znaleźć  agencję reklamową atrakcyjną z punktu widzenia danego projektu marketingowego. Tak było kiedyś i jest w dalszym ciągu dla wielu marketingowców, którzy nie są świadomi istnienia narzędzi, takich jak brief4U.com, które znacznie ułatwia ten proces i maksymalnie ogranicza czas potrzebny na weryfikacją potencjalnych usługodawców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– dodaje Marcin Chyliński. </w:t>
      </w:r>
    </w:p>
    <w:p w14:paraId="36F1C874" w14:textId="77777777" w:rsidR="004010B7" w:rsidRDefault="004010B7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74A3E6E6" w14:textId="77777777" w:rsidR="004010B7" w:rsidRDefault="003F2680">
      <w:pPr>
        <w:pStyle w:val="Nagwek2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Wyzwania marketerów kiedyś i dziś</w:t>
      </w:r>
    </w:p>
    <w:p w14:paraId="4EDE00D0" w14:textId="77777777" w:rsidR="004010B7" w:rsidRDefault="004010B7">
      <w:pPr>
        <w:rPr>
          <w:color w:val="000000"/>
        </w:rPr>
      </w:pPr>
    </w:p>
    <w:p w14:paraId="35D1FDC3" w14:textId="77777777" w:rsidR="004010B7" w:rsidRDefault="003F2680">
      <w:pPr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Choć marketing mierzy się z nowymi wyzwaniami i dynamicznym rozwojem w obszarze technologii, to w tej branży niektóre problemy pozostają niezmienne. Jedną z kluczowych spraw podczas poszukiwania agencji do współpracy przy kampaniach reklamowych jest dobrze przygotowany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brief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marketingowy. Ten dokument jest wyznacznikiem oczekiwań względem </w:t>
      </w:r>
      <w:r>
        <w:rPr>
          <w:rFonts w:ascii="Century Gothic" w:eastAsia="Century Gothic" w:hAnsi="Century Gothic" w:cs="Century Gothic"/>
          <w:sz w:val="20"/>
          <w:szCs w:val="20"/>
        </w:rPr>
        <w:t>agencji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. Powinien zawierać podstawowe informacje o marce, bariery rozwoju, cele do zrealizowania i oczekiwane rezultaty. Odpowiednio przygotowany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brief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ułatwia komunikację pomiędzy agencją a klientem, ogranicza ryzyko błędów oraz oszczędza czas i nakłady finansowe każdej ze stron procesu. 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- Jednym z elementów sprawiających najwięcej trudności, zarówno kiedyś jak i dziś, jest zadbanie o jakość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briefu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marketingowego.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Nasza platforma e-przetargowa wyszła temu wyzwaniu na przeciw, tworząc profesjonalny szablon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briefu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, który jednocześnie definiuje i syntezuje, to co jest problematyczne z punktu widzenia oczekiwań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marketera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, ale również istotne dla agencji </w:t>
      </w:r>
      <w:r>
        <w:rPr>
          <w:rFonts w:ascii="Century Gothic" w:eastAsia="Century Gothic" w:hAnsi="Century Gothic" w:cs="Century Gothic"/>
          <w:b/>
          <w:sz w:val="20"/>
          <w:szCs w:val="20"/>
        </w:rPr>
        <w:t>– komentuje Marcin Chyliński.</w:t>
      </w:r>
    </w:p>
    <w:p w14:paraId="5400DF48" w14:textId="77777777" w:rsidR="004010B7" w:rsidRDefault="004010B7">
      <w:pPr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4082A4E6" w14:textId="77777777" w:rsidR="004010B7" w:rsidRDefault="003F2680">
      <w:pPr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Agencja z przyzwyczajenia?</w:t>
      </w:r>
    </w:p>
    <w:p w14:paraId="6EFCD9ED" w14:textId="77777777" w:rsidR="004010B7" w:rsidRDefault="004010B7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75415926" w14:textId="77777777" w:rsidR="004010B7" w:rsidRDefault="003F2680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Drugim wyzwaniem, przed którym stoją specjaliści, pozostaje znalezienie agencji profilowo dopasowanej do przedmiotu danego zapytania, czyli firmy, która posiada wymagane kompetencje i doświadczenie, aby móc podjąć się realizacji zlecanego projektu lub kampanii. </w:t>
      </w:r>
    </w:p>
    <w:p w14:paraId="6705F0FA" w14:textId="77777777" w:rsidR="004010B7" w:rsidRDefault="004010B7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69FA8F7E" w14:textId="77777777" w:rsidR="004010B7" w:rsidRDefault="003F2680">
      <w:pPr>
        <w:jc w:val="both"/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– Mogę zaryzykować stwierdzenie, że kiedyś sposób poszukiwania agencji do współpracy był trochę „partyzancki”. Czy to się dzisiaj zmieniło? Nieznacznie. Nadal opieramy się na rekomendacjach znajomych z branży  i niestety na nich często poprzestajemy. Można zaobserwować, że staje się to pewnym nawykiem w branży marketingowej. Doświadczeni specjaliści często mają świadomość ograniczeń tego procesu – korzystają z usług kilku znanych im agencji, mimo że nie do końca są zadowoleni z efektów ich działań. Dlaczego tak się dzieje? Wielu marketerów wie, jak dużo czasu zajmowało im szukanie nowej, godnej zaufania i kompetentnej agencji, a nie ma świadomości, że na rynku dostępne są już narzędzia znacznie ułatwiające ten proces </w:t>
      </w:r>
      <w:r>
        <w:rPr>
          <w:rFonts w:ascii="Century Gothic" w:eastAsia="Century Gothic" w:hAnsi="Century Gothic" w:cs="Century Gothic"/>
          <w:b/>
          <w:sz w:val="20"/>
          <w:szCs w:val="20"/>
        </w:rPr>
        <w:t>– mówi Marcin Chyliński, brief4U.com.</w:t>
      </w:r>
    </w:p>
    <w:p w14:paraId="4C5FCB76" w14:textId="77777777" w:rsidR="004010B7" w:rsidRDefault="004010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120D3CEB" w14:textId="77777777" w:rsidR="004010B7" w:rsidRDefault="003F2680">
      <w:pPr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Agencja reklamowa - komplet informacji w jednym miejscu</w:t>
      </w:r>
    </w:p>
    <w:p w14:paraId="20E6CF0D" w14:textId="77777777" w:rsidR="004010B7" w:rsidRDefault="004010B7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51A1EABB" w14:textId="77777777" w:rsidR="004010B7" w:rsidRDefault="003F2680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Kolejnym elementem jest wiedza rynkowa. Szerokość spojrzenia na branżę, kompetencje agencji, zakres realizowanych projektów i „możliwości produkcyjne”, czyli zasoby osobowe. Narzędzia </w:t>
      </w:r>
      <w:r>
        <w:rPr>
          <w:rFonts w:ascii="Century Gothic" w:eastAsia="Century Gothic" w:hAnsi="Century Gothic" w:cs="Century Gothic"/>
          <w:sz w:val="20"/>
          <w:szCs w:val="20"/>
        </w:rPr>
        <w:lastRenderedPageBreak/>
        <w:t xml:space="preserve">marketingowe, które pozwalają agregować tę wiedzę są bardzo potrzebne. Jeśli z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briefem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trafimy do podmiotów, które mają kompetencje, żeby danym projektem się zająć, doświadczenie i zasoby osobowe, bazują na projektach o podobnej skali, to jest więcej niż prawdopodobne, że jakość </w:t>
      </w:r>
    </w:p>
    <w:p w14:paraId="4BB6ECF0" w14:textId="77777777" w:rsidR="004010B7" w:rsidRDefault="003F2680">
      <w:pPr>
        <w:jc w:val="both"/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otrzymanej oferty będzie satysfakcjonująca, a co ważniejsze zbieżna z realnymi działaniami. 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– Warto również wspomnieć o administracyjnych aspektach współpracy, z którymi również muszą zmierzyć się zainteresowane strony. Podniesienie jakości komunikacji między agencją reklamową a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marketerem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, pilnowanie terminów oraz feedback wpływają na całokształt procesu zakupu usług komunikacji marketingowej. Są to działania żmudne i czasochłonne, ale dziś dzięki wykorzystaniu nowoczesnej technologii, narzędzia dostępne na rynku wspierają nas na każdym etapie procesu, znacznie oszczędzając czas jego uczestników </w:t>
      </w:r>
      <w:r>
        <w:rPr>
          <w:rFonts w:ascii="Century Gothic" w:eastAsia="Century Gothic" w:hAnsi="Century Gothic" w:cs="Century Gothic"/>
          <w:b/>
          <w:sz w:val="20"/>
          <w:szCs w:val="20"/>
        </w:rPr>
        <w:t>– dodaje Marcin Chyliński, brief4U.com.</w:t>
      </w:r>
    </w:p>
    <w:p w14:paraId="43AC8755" w14:textId="77777777" w:rsidR="004010B7" w:rsidRDefault="004010B7">
      <w:pPr>
        <w:rPr>
          <w:rFonts w:ascii="Century Gothic" w:eastAsia="Century Gothic" w:hAnsi="Century Gothic" w:cs="Century Gothic"/>
          <w:sz w:val="20"/>
          <w:szCs w:val="20"/>
        </w:rPr>
      </w:pPr>
    </w:p>
    <w:p w14:paraId="4CD0A10B" w14:textId="77777777" w:rsidR="004010B7" w:rsidRDefault="004010B7">
      <w:pPr>
        <w:rPr>
          <w:rFonts w:ascii="Montserrat" w:eastAsia="Montserrat" w:hAnsi="Montserrat" w:cs="Montserrat"/>
          <w:sz w:val="20"/>
          <w:szCs w:val="20"/>
        </w:rPr>
      </w:pPr>
    </w:p>
    <w:p w14:paraId="7ABF02AD" w14:textId="77777777" w:rsidR="004010B7" w:rsidRDefault="003F2680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Więcej informacji: </w:t>
      </w:r>
    </w:p>
    <w:p w14:paraId="0CD6A554" w14:textId="77777777" w:rsidR="004010B7" w:rsidRDefault="004010B7">
      <w:pPr>
        <w:rPr>
          <w:rFonts w:ascii="Century Gothic" w:eastAsia="Century Gothic" w:hAnsi="Century Gothic" w:cs="Century Gothic"/>
          <w:sz w:val="20"/>
          <w:szCs w:val="20"/>
        </w:rPr>
      </w:pPr>
    </w:p>
    <w:p w14:paraId="2191525F" w14:textId="77777777" w:rsidR="004010B7" w:rsidRDefault="003F2680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Pamela Tomicka</w:t>
      </w:r>
    </w:p>
    <w:p w14:paraId="5F11CB98" w14:textId="77777777" w:rsidR="004010B7" w:rsidRDefault="003F2680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+48 601 918 306 </w:t>
      </w:r>
    </w:p>
    <w:p w14:paraId="48BC7231" w14:textId="77777777" w:rsidR="004010B7" w:rsidRDefault="00C14F0D">
      <w:pPr>
        <w:rPr>
          <w:rFonts w:ascii="Century Gothic" w:eastAsia="Century Gothic" w:hAnsi="Century Gothic" w:cs="Century Gothic"/>
          <w:sz w:val="20"/>
          <w:szCs w:val="20"/>
        </w:rPr>
      </w:pPr>
      <w:hyperlink r:id="rId10">
        <w:r w:rsidR="003F2680">
          <w:rPr>
            <w:rFonts w:ascii="Century Gothic" w:eastAsia="Century Gothic" w:hAnsi="Century Gothic" w:cs="Century Gothic"/>
            <w:color w:val="0563C1"/>
            <w:sz w:val="20"/>
            <w:szCs w:val="20"/>
            <w:u w:val="single"/>
          </w:rPr>
          <w:t>p.tomicka@lightscape.pl</w:t>
        </w:r>
      </w:hyperlink>
    </w:p>
    <w:sectPr w:rsidR="004010B7">
      <w:footerReference w:type="default" r:id="rId11"/>
      <w:pgSz w:w="11906" w:h="16838"/>
      <w:pgMar w:top="1134" w:right="1134" w:bottom="1418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15654" w14:textId="77777777" w:rsidR="00C14F0D" w:rsidRDefault="00C14F0D">
      <w:r>
        <w:separator/>
      </w:r>
    </w:p>
  </w:endnote>
  <w:endnote w:type="continuationSeparator" w:id="0">
    <w:p w14:paraId="44F81374" w14:textId="77777777" w:rsidR="00C14F0D" w:rsidRDefault="00C14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E30C" w14:textId="77777777" w:rsidR="004010B7" w:rsidRDefault="003F26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6E93CD37" wp14:editId="3734A25B">
              <wp:simplePos x="0" y="0"/>
              <wp:positionH relativeFrom="column">
                <wp:posOffset>-698499</wp:posOffset>
              </wp:positionH>
              <wp:positionV relativeFrom="paragraph">
                <wp:posOffset>-279399</wp:posOffset>
              </wp:positionV>
              <wp:extent cx="3943350" cy="909525"/>
              <wp:effectExtent l="0" t="0" r="0" b="0"/>
              <wp:wrapNone/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79088" y="3330000"/>
                        <a:ext cx="3933825" cy="900000"/>
                      </a:xfrm>
                      <a:prstGeom prst="rect">
                        <a:avLst/>
                      </a:prstGeom>
                      <a:solidFill>
                        <a:srgbClr val="6456A5"/>
                      </a:solidFill>
                      <a:ln>
                        <a:noFill/>
                      </a:ln>
                    </wps:spPr>
                    <wps:txbx>
                      <w:txbxContent>
                        <w:p w14:paraId="68A2F5B1" w14:textId="77777777" w:rsidR="004010B7" w:rsidRDefault="004010B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-698499</wp:posOffset>
              </wp:positionH>
              <wp:positionV relativeFrom="paragraph">
                <wp:posOffset>-279399</wp:posOffset>
              </wp:positionV>
              <wp:extent cx="3943350" cy="909525"/>
              <wp:effectExtent b="0" l="0" r="0" t="0"/>
              <wp:wrapNone/>
              <wp:docPr id="1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43350" cy="909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79453BC5" wp14:editId="7012F60A">
              <wp:simplePos x="0" y="0"/>
              <wp:positionH relativeFrom="column">
                <wp:posOffset>-12699</wp:posOffset>
              </wp:positionH>
              <wp:positionV relativeFrom="paragraph">
                <wp:posOffset>-76199</wp:posOffset>
              </wp:positionV>
              <wp:extent cx="1685925" cy="546100"/>
              <wp:effectExtent l="0" t="0" r="0" b="0"/>
              <wp:wrapNone/>
              <wp:docPr id="9" name="Prostoką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07800" y="3511713"/>
                        <a:ext cx="1676400" cy="536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C6A47E" w14:textId="77777777" w:rsidR="004010B7" w:rsidRDefault="003F2680">
                          <w:pPr>
                            <w:textDirection w:val="btLr"/>
                          </w:pPr>
                          <w:r>
                            <w:rPr>
                              <w:rFonts w:ascii="Montserrat" w:eastAsia="Montserrat" w:hAnsi="Montserrat" w:cs="Montserrat"/>
                              <w:color w:val="FFFFFF"/>
                              <w:sz w:val="16"/>
                            </w:rPr>
                            <w:t>+48 881 007 030</w:t>
                          </w:r>
                          <w:r>
                            <w:rPr>
                              <w:rFonts w:ascii="Montserrat" w:eastAsia="Montserrat" w:hAnsi="Montserrat" w:cs="Montserrat"/>
                              <w:color w:val="FFFFFF"/>
                              <w:sz w:val="16"/>
                            </w:rPr>
                            <w:br/>
                            <w:t>kontakt@brief4u.com  www.brief4u.com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-76199</wp:posOffset>
              </wp:positionV>
              <wp:extent cx="1685925" cy="546100"/>
              <wp:effectExtent b="0" l="0" r="0" t="0"/>
              <wp:wrapNone/>
              <wp:docPr id="9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85925" cy="546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2275D90B" wp14:editId="1E1434C5">
              <wp:simplePos x="0" y="0"/>
              <wp:positionH relativeFrom="column">
                <wp:posOffset>1473200</wp:posOffset>
              </wp:positionH>
              <wp:positionV relativeFrom="paragraph">
                <wp:posOffset>-63499</wp:posOffset>
              </wp:positionV>
              <wp:extent cx="1257300" cy="536575"/>
              <wp:effectExtent l="0" t="0" r="0" b="0"/>
              <wp:wrapNone/>
              <wp:docPr id="12" name="Prostokąt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22113" y="3516475"/>
                        <a:ext cx="1247775" cy="527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84393B" w14:textId="77777777" w:rsidR="004010B7" w:rsidRDefault="003F2680">
                          <w:pPr>
                            <w:textDirection w:val="btLr"/>
                          </w:pPr>
                          <w:r>
                            <w:rPr>
                              <w:rFonts w:ascii="Montserrat" w:eastAsia="Montserrat" w:hAnsi="Montserrat" w:cs="Montserrat"/>
                              <w:color w:val="FFFFFF"/>
                              <w:sz w:val="16"/>
                            </w:rPr>
                            <w:t>Tomasza Zana 38 lok. 416</w:t>
                          </w:r>
                          <w:r>
                            <w:rPr>
                              <w:rFonts w:ascii="Montserrat" w:eastAsia="Montserrat" w:hAnsi="Montserrat" w:cs="Montserrat"/>
                              <w:color w:val="FFFFFF"/>
                              <w:sz w:val="16"/>
                            </w:rPr>
                            <w:br/>
                            <w:t xml:space="preserve">20-601 Lublin </w:t>
                          </w:r>
                          <w:r>
                            <w:rPr>
                              <w:rFonts w:ascii="Montserrat" w:eastAsia="Montserrat" w:hAnsi="Montserrat" w:cs="Montserrat"/>
                              <w:color w:val="FFFFFF"/>
                              <w:sz w:val="16"/>
                            </w:rPr>
                            <w:br/>
                            <w:t>NIP 517-040-25-10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1473200</wp:posOffset>
              </wp:positionH>
              <wp:positionV relativeFrom="paragraph">
                <wp:posOffset>-63499</wp:posOffset>
              </wp:positionV>
              <wp:extent cx="1257300" cy="536575"/>
              <wp:effectExtent b="0" l="0" r="0" t="0"/>
              <wp:wrapNone/>
              <wp:docPr id="1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57300" cy="536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780C4" w14:textId="77777777" w:rsidR="00C14F0D" w:rsidRDefault="00C14F0D">
      <w:r>
        <w:separator/>
      </w:r>
    </w:p>
  </w:footnote>
  <w:footnote w:type="continuationSeparator" w:id="0">
    <w:p w14:paraId="7CA8D638" w14:textId="77777777" w:rsidR="00C14F0D" w:rsidRDefault="00C14F0D">
      <w:r>
        <w:continuationSeparator/>
      </w:r>
    </w:p>
  </w:footnote>
  <w:footnote w:id="1">
    <w:p w14:paraId="08391EC5" w14:textId="77777777" w:rsidR="004010B7" w:rsidRDefault="003F268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https://chiefmartec.com/2020/04/marketing-technology-landscape-2020-martech-5000/</w:t>
      </w:r>
    </w:p>
  </w:footnote>
  <w:footnote w:id="2">
    <w:p w14:paraId="125E1DB2" w14:textId="77777777" w:rsidR="004010B7" w:rsidRDefault="003F268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https://www.martechalliance.com/stories/2021-european-martech-supergraphic</w:t>
      </w:r>
    </w:p>
  </w:footnote>
  <w:footnote w:id="3">
    <w:p w14:paraId="3FA5FCFF" w14:textId="77777777" w:rsidR="004010B7" w:rsidRDefault="003F2680">
      <w:pPr>
        <w:jc w:val="both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>https://www.pwc.pl/pl/artykuly/martech-technologie-marketingowe-w-walce-o-cyfrowego-klienta.html</w:t>
      </w:r>
    </w:p>
  </w:footnote>
  <w:footnote w:id="4">
    <w:p w14:paraId="5DE7997A" w14:textId="77777777" w:rsidR="004010B7" w:rsidRDefault="003F268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Brief4U.com, Oczekiwania marketerów przy wyborze agencji, raport 2021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0B7"/>
    <w:rsid w:val="00100ACB"/>
    <w:rsid w:val="002E4213"/>
    <w:rsid w:val="003F2680"/>
    <w:rsid w:val="004010B7"/>
    <w:rsid w:val="00555F43"/>
    <w:rsid w:val="00C14F0D"/>
    <w:rsid w:val="00C6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3F64A"/>
  <w15:docId w15:val="{9169B534-F678-491E-BF03-E49FC062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6B88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6B8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semiHidden/>
    <w:unhideWhenUsed/>
    <w:rsid w:val="00EB45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EB45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B4523"/>
  </w:style>
  <w:style w:type="paragraph" w:styleId="Stopka">
    <w:name w:val="footer"/>
    <w:basedOn w:val="Normalny"/>
    <w:link w:val="StopkaZnak"/>
    <w:uiPriority w:val="99"/>
    <w:unhideWhenUsed/>
    <w:rsid w:val="00EB45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B4523"/>
  </w:style>
  <w:style w:type="paragraph" w:styleId="Akapitzlist">
    <w:name w:val="List Paragraph"/>
    <w:basedOn w:val="Normalny"/>
    <w:uiPriority w:val="34"/>
    <w:qFormat/>
    <w:rsid w:val="00D374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66B8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6B88"/>
    <w:rPr>
      <w:color w:val="0000FF"/>
      <w:u w:val="singl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.tomicka@lightscape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1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nQIYWUQR4owUq+vD8RiTlhPC6A==">AMUW2mUMvk/++hl2ev7l178igv97yowgQ2/FB8h6XrhJf7pnZDnc2e/54RXLpc4/PdPS3c8jmIx6+ISscKeC7ZqLi7qEz3ciJ7DbKJJifaau0viC4xw0AyaTyGuZ6FJdA3v6TlT2Kijw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1182</Words>
  <Characters>7097</Characters>
  <Application>Microsoft Office Word</Application>
  <DocSecurity>0</DocSecurity>
  <Lines>59</Lines>
  <Paragraphs>16</Paragraphs>
  <ScaleCrop>false</ScaleCrop>
  <Company/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Pamela  Tomicka</cp:lastModifiedBy>
  <cp:revision>2</cp:revision>
  <dcterms:created xsi:type="dcterms:W3CDTF">2021-10-04T10:16:00Z</dcterms:created>
  <dcterms:modified xsi:type="dcterms:W3CDTF">2021-10-04T10:16:00Z</dcterms:modified>
</cp:coreProperties>
</file>